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1" w:rsidRDefault="00063655">
      <w:pPr>
        <w:rPr>
          <w:color w:val="1F497D" w:themeColor="text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6137" wp14:editId="6942641A">
            <wp:simplePos x="0" y="0"/>
            <wp:positionH relativeFrom="margin">
              <wp:posOffset>-548005</wp:posOffset>
            </wp:positionH>
            <wp:positionV relativeFrom="margin">
              <wp:posOffset>-72390</wp:posOffset>
            </wp:positionV>
            <wp:extent cx="80391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986" y="21149"/>
                <wp:lineTo x="2098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>Sarasota Academy of the Arts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 xml:space="preserve">4466 </w:t>
      </w:r>
      <w:proofErr w:type="spellStart"/>
      <w:r>
        <w:rPr>
          <w:color w:val="1F497D" w:themeColor="text2"/>
        </w:rPr>
        <w:t>Fruitville</w:t>
      </w:r>
      <w:proofErr w:type="spellEnd"/>
      <w:r>
        <w:rPr>
          <w:color w:val="1F497D" w:themeColor="text2"/>
        </w:rPr>
        <w:t xml:space="preserve"> Road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>Sarasota, FL 34232</w:t>
      </w:r>
    </w:p>
    <w:p w:rsidR="00063655" w:rsidRDefault="00C17DE1">
      <w:pPr>
        <w:rPr>
          <w:color w:val="1F497D" w:themeColor="text2"/>
        </w:rPr>
      </w:pPr>
      <w:hyperlink r:id="rId5" w:history="1">
        <w:r w:rsidR="00063655" w:rsidRPr="009D2693">
          <w:rPr>
            <w:rStyle w:val="Hyperlink"/>
          </w:rPr>
          <w:t>www.sarasotaacademyofthearts.com</w:t>
        </w:r>
      </w:hyperlink>
    </w:p>
    <w:p w:rsidR="00C405A7" w:rsidRDefault="00063655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(941) </w:t>
      </w:r>
      <w:r w:rsidR="00A22555">
        <w:rPr>
          <w:color w:val="1F497D" w:themeColor="text2"/>
        </w:rPr>
        <w:t>377-2278</w:t>
      </w:r>
      <w:r w:rsidR="00C405A7">
        <w:rPr>
          <w:color w:val="1F497D" w:themeColor="text2"/>
        </w:rPr>
        <w:t xml:space="preserve">   FAX (941) 404 – 4492</w:t>
      </w:r>
    </w:p>
    <w:p w:rsidR="006C3FC2" w:rsidRDefault="006C3FC2" w:rsidP="00C405A7">
      <w:pPr>
        <w:pStyle w:val="Default"/>
        <w:rPr>
          <w:color w:val="1F497D" w:themeColor="text2"/>
        </w:rPr>
      </w:pPr>
    </w:p>
    <w:p w:rsidR="006C3FC2" w:rsidRDefault="006C3FC2" w:rsidP="006C3FC2">
      <w:pPr>
        <w:pStyle w:val="Default"/>
        <w:jc w:val="center"/>
        <w:rPr>
          <w:color w:val="1F497D" w:themeColor="text2"/>
        </w:rPr>
      </w:pPr>
      <w:r>
        <w:rPr>
          <w:color w:val="1F497D" w:themeColor="text2"/>
        </w:rPr>
        <w:t>November 2, 2015 SAA Governing Board Meeting Agenda</w:t>
      </w:r>
    </w:p>
    <w:p w:rsidR="006C3FC2" w:rsidRDefault="006C3FC2" w:rsidP="006C3FC2">
      <w:pPr>
        <w:pStyle w:val="Default"/>
        <w:jc w:val="center"/>
        <w:rPr>
          <w:color w:val="1F497D" w:themeColor="text2"/>
        </w:rPr>
      </w:pPr>
    </w:p>
    <w:p w:rsidR="006C3FC2" w:rsidRDefault="006C3FC2" w:rsidP="006C3FC2">
      <w:pPr>
        <w:pStyle w:val="Default"/>
        <w:rPr>
          <w:color w:val="1F497D" w:themeColor="text2"/>
        </w:rPr>
      </w:pPr>
      <w:r>
        <w:rPr>
          <w:color w:val="1F497D" w:themeColor="text2"/>
        </w:rPr>
        <w:t>Call to order</w:t>
      </w:r>
    </w:p>
    <w:p w:rsidR="006C3FC2" w:rsidRDefault="006C3FC2" w:rsidP="006C3FC2">
      <w:pPr>
        <w:pStyle w:val="Default"/>
        <w:rPr>
          <w:color w:val="1F497D" w:themeColor="text2"/>
        </w:rPr>
      </w:pPr>
    </w:p>
    <w:p w:rsidR="006C3FC2" w:rsidRDefault="006C3FC2" w:rsidP="006C3FC2">
      <w:pPr>
        <w:pStyle w:val="Default"/>
        <w:rPr>
          <w:color w:val="1F497D" w:themeColor="text2"/>
        </w:rPr>
      </w:pPr>
      <w:r>
        <w:rPr>
          <w:color w:val="1F497D" w:themeColor="text2"/>
        </w:rPr>
        <w:t>Reading/Approval of Minutes</w:t>
      </w:r>
    </w:p>
    <w:p w:rsidR="006C3FC2" w:rsidRDefault="006C3FC2" w:rsidP="006C3FC2">
      <w:pPr>
        <w:pStyle w:val="Default"/>
        <w:rPr>
          <w:color w:val="1F497D" w:themeColor="text2"/>
        </w:rPr>
      </w:pPr>
    </w:p>
    <w:p w:rsidR="006C3FC2" w:rsidRDefault="006C3FC2" w:rsidP="006C3FC2">
      <w:pPr>
        <w:pStyle w:val="Default"/>
        <w:rPr>
          <w:color w:val="1F497D" w:themeColor="text2"/>
        </w:rPr>
      </w:pPr>
      <w:r>
        <w:rPr>
          <w:color w:val="1F497D" w:themeColor="text2"/>
        </w:rPr>
        <w:t>Treasurer/Financial Report</w:t>
      </w:r>
    </w:p>
    <w:p w:rsidR="006C3FC2" w:rsidRDefault="006C3FC2" w:rsidP="006C3FC2">
      <w:pPr>
        <w:pStyle w:val="Default"/>
        <w:rPr>
          <w:color w:val="1F497D" w:themeColor="text2"/>
        </w:rPr>
      </w:pPr>
    </w:p>
    <w:p w:rsidR="004E0252" w:rsidRDefault="006C3FC2" w:rsidP="006C3FC2">
      <w:pPr>
        <w:pStyle w:val="Default"/>
        <w:rPr>
          <w:color w:val="1F497D" w:themeColor="text2"/>
        </w:rPr>
      </w:pPr>
      <w:r>
        <w:rPr>
          <w:color w:val="1F497D" w:themeColor="text2"/>
        </w:rPr>
        <w:t>Principal’s Report (attached since I will be in Virginia on the second)</w:t>
      </w:r>
    </w:p>
    <w:p w:rsidR="004E0252" w:rsidRDefault="004E0252" w:rsidP="006C3FC2">
      <w:pPr>
        <w:pStyle w:val="Default"/>
        <w:rPr>
          <w:color w:val="1F497D" w:themeColor="text2"/>
        </w:rPr>
      </w:pPr>
    </w:p>
    <w:p w:rsidR="006C3FC2" w:rsidRPr="00C17DE1" w:rsidRDefault="004E0252" w:rsidP="006C3FC2">
      <w:pPr>
        <w:pStyle w:val="Default"/>
        <w:rPr>
          <w:color w:val="1F497D" w:themeColor="text2"/>
        </w:rPr>
      </w:pPr>
      <w:r w:rsidRPr="00C17DE1">
        <w:rPr>
          <w:color w:val="1F497D" w:themeColor="text2"/>
        </w:rPr>
        <w:t>Old Business</w:t>
      </w:r>
    </w:p>
    <w:p w:rsidR="00E75C8B" w:rsidRPr="00C17DE1" w:rsidRDefault="004E0252" w:rsidP="006C3FC2">
      <w:pPr>
        <w:pStyle w:val="Default"/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</w:pPr>
      <w:r w:rsidRPr="00C17DE1">
        <w:rPr>
          <w:color w:val="1F497D" w:themeColor="text2"/>
        </w:rPr>
        <w:tab/>
      </w:r>
      <w:r w:rsidR="00E75C8B" w:rsidRPr="00C17DE1">
        <w:rPr>
          <w:color w:val="1F497D" w:themeColor="text2"/>
        </w:rPr>
        <w:t>R</w:t>
      </w:r>
      <w:r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evisions to the Segregation of Duties</w:t>
      </w:r>
    </w:p>
    <w:p w:rsidR="00E75C8B" w:rsidRPr="00C17DE1" w:rsidRDefault="00E75C8B" w:rsidP="00E75C8B">
      <w:pPr>
        <w:pStyle w:val="Default"/>
        <w:ind w:firstLine="720"/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</w:pPr>
      <w:r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I</w:t>
      </w:r>
      <w:r w:rsidR="004E0252"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n-depth review of insurance policies. </w:t>
      </w:r>
    </w:p>
    <w:p w:rsidR="00E75C8B" w:rsidRPr="00C17DE1" w:rsidRDefault="00E75C8B" w:rsidP="00E75C8B">
      <w:pPr>
        <w:pStyle w:val="Default"/>
        <w:ind w:firstLine="720"/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</w:pPr>
      <w:r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F</w:t>
      </w:r>
      <w:r w:rsidR="004E0252"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ormal approval of the CISCO contract</w:t>
      </w:r>
      <w:bookmarkStart w:id="0" w:name="_GoBack"/>
      <w:bookmarkEnd w:id="0"/>
    </w:p>
    <w:p w:rsidR="004E0252" w:rsidRPr="00C17DE1" w:rsidRDefault="00E75C8B" w:rsidP="00E75C8B">
      <w:pPr>
        <w:pStyle w:val="Default"/>
        <w:ind w:firstLine="720"/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</w:pPr>
      <w:r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Approval of amended</w:t>
      </w:r>
      <w:r w:rsidR="004E0252"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 xml:space="preserve"> budget </w:t>
      </w:r>
    </w:p>
    <w:p w:rsidR="00E75C8B" w:rsidRPr="00C17DE1" w:rsidRDefault="00E75C8B" w:rsidP="00E75C8B">
      <w:pPr>
        <w:pStyle w:val="Default"/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</w:pPr>
    </w:p>
    <w:p w:rsidR="00E75C8B" w:rsidRPr="00C17DE1" w:rsidRDefault="00E75C8B" w:rsidP="00E75C8B">
      <w:pPr>
        <w:pStyle w:val="Default"/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</w:pPr>
      <w:r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New Business</w:t>
      </w:r>
    </w:p>
    <w:p w:rsidR="00E75C8B" w:rsidRPr="00C17DE1" w:rsidRDefault="00E75C8B" w:rsidP="00E75C8B">
      <w:pPr>
        <w:pStyle w:val="Default"/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</w:pPr>
    </w:p>
    <w:p w:rsidR="00E75C8B" w:rsidRPr="00C17DE1" w:rsidRDefault="00E75C8B" w:rsidP="00E75C8B">
      <w:pPr>
        <w:pStyle w:val="Default"/>
        <w:rPr>
          <w:color w:val="1F497D" w:themeColor="text2"/>
        </w:rPr>
      </w:pPr>
      <w:r w:rsidRPr="00C17DE1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Adjourn</w:t>
      </w:r>
    </w:p>
    <w:p w:rsidR="004E0252" w:rsidRDefault="004E0252" w:rsidP="006C3FC2">
      <w:pPr>
        <w:pStyle w:val="Default"/>
        <w:rPr>
          <w:color w:val="1F497D" w:themeColor="text2"/>
        </w:rPr>
      </w:pPr>
    </w:p>
    <w:p w:rsidR="004E0252" w:rsidRDefault="004E0252" w:rsidP="006C3FC2">
      <w:pPr>
        <w:pStyle w:val="Default"/>
        <w:rPr>
          <w:color w:val="1F497D" w:themeColor="text2"/>
        </w:rPr>
      </w:pPr>
    </w:p>
    <w:p w:rsidR="006C3FC2" w:rsidRDefault="006C3FC2" w:rsidP="006C3FC2">
      <w:pPr>
        <w:pStyle w:val="Default"/>
        <w:rPr>
          <w:color w:val="1F497D" w:themeColor="text2"/>
        </w:rPr>
      </w:pPr>
    </w:p>
    <w:p w:rsidR="006C3FC2" w:rsidRDefault="006C3FC2" w:rsidP="006C3FC2">
      <w:pPr>
        <w:pStyle w:val="Default"/>
        <w:rPr>
          <w:color w:val="1F497D" w:themeColor="text2"/>
        </w:rPr>
      </w:pPr>
    </w:p>
    <w:p w:rsidR="006C3FC2" w:rsidRDefault="006C3FC2" w:rsidP="006C3FC2">
      <w:pPr>
        <w:pStyle w:val="Default"/>
        <w:rPr>
          <w:color w:val="1F497D" w:themeColor="text2"/>
        </w:rPr>
      </w:pPr>
    </w:p>
    <w:p w:rsidR="006C3FC2" w:rsidRDefault="006C3FC2" w:rsidP="006C3FC2">
      <w:pPr>
        <w:pStyle w:val="Default"/>
        <w:jc w:val="center"/>
        <w:rPr>
          <w:color w:val="1F497D" w:themeColor="text2"/>
        </w:rPr>
      </w:pPr>
    </w:p>
    <w:p w:rsidR="006C3FC2" w:rsidRDefault="006C3FC2" w:rsidP="006C3FC2">
      <w:pPr>
        <w:pStyle w:val="Default"/>
        <w:jc w:val="center"/>
        <w:rPr>
          <w:color w:val="1F497D" w:themeColor="text2"/>
        </w:rPr>
      </w:pPr>
    </w:p>
    <w:p w:rsidR="00E75C8B" w:rsidRDefault="00E75C8B">
      <w:pPr>
        <w:rPr>
          <w:rFonts w:ascii="Calibri" w:hAnsi="Calibri" w:cs="Calibri"/>
          <w:color w:val="1F497D" w:themeColor="text2"/>
          <w:sz w:val="24"/>
          <w:szCs w:val="24"/>
        </w:rPr>
      </w:pPr>
      <w:r>
        <w:rPr>
          <w:color w:val="1F497D" w:themeColor="text2"/>
        </w:rPr>
        <w:br w:type="page"/>
      </w:r>
    </w:p>
    <w:p w:rsidR="00095AFE" w:rsidRDefault="00E75C8B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lastRenderedPageBreak/>
        <w:t>Principal’s Report 10/29/15 for 11/2/15 Governors’ Board meeting</w:t>
      </w:r>
    </w:p>
    <w:p w:rsidR="00E75C8B" w:rsidRDefault="00E75C8B" w:rsidP="00C405A7">
      <w:pPr>
        <w:pStyle w:val="Default"/>
        <w:rPr>
          <w:color w:val="1F497D" w:themeColor="text2"/>
        </w:rPr>
      </w:pPr>
    </w:p>
    <w:p w:rsidR="00E75C8B" w:rsidRDefault="00E75C8B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>Current enrollment = 221; one student will definitely withdraw before January</w:t>
      </w:r>
      <w:r w:rsidR="00C17DE1">
        <w:rPr>
          <w:color w:val="1F497D" w:themeColor="text2"/>
        </w:rPr>
        <w:t xml:space="preserve"> (goal was 220)</w:t>
      </w:r>
    </w:p>
    <w:p w:rsidR="00FC07DF" w:rsidRDefault="00FC07DF" w:rsidP="00C405A7">
      <w:pPr>
        <w:pStyle w:val="Default"/>
        <w:rPr>
          <w:color w:val="1F497D" w:themeColor="text2"/>
        </w:rPr>
      </w:pPr>
    </w:p>
    <w:p w:rsidR="00E75C8B" w:rsidRDefault="00E75C8B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>SIP completed but can still be edited and reviewed.  Primary goals call for improvement in math (currently at 47% of students proficient (2015 FSA)) and reading (currently at 60% proficient (2015 FSA))</w:t>
      </w:r>
      <w:r w:rsidR="00FC07DF">
        <w:rPr>
          <w:color w:val="1F497D" w:themeColor="text2"/>
        </w:rPr>
        <w:t>.</w:t>
      </w:r>
      <w:r>
        <w:rPr>
          <w:color w:val="1F497D" w:themeColor="text2"/>
        </w:rPr>
        <w:t xml:space="preserve">  Other goals relate to increase in attendance (asking for business partner support in purchasing incentive program successfully used by other elementary schools)</w:t>
      </w:r>
      <w:r w:rsidR="00FC07DF">
        <w:rPr>
          <w:color w:val="1F497D" w:themeColor="text2"/>
        </w:rPr>
        <w:t xml:space="preserve">, participation in music and visual arts, and productive engagement of students in </w:t>
      </w:r>
      <w:proofErr w:type="spellStart"/>
      <w:r w:rsidR="00FC07DF">
        <w:rPr>
          <w:color w:val="1F497D" w:themeColor="text2"/>
        </w:rPr>
        <w:t>i</w:t>
      </w:r>
      <w:proofErr w:type="spellEnd"/>
      <w:r w:rsidR="00FC07DF">
        <w:rPr>
          <w:color w:val="1F497D" w:themeColor="text2"/>
        </w:rPr>
        <w:t>-Ready program (used by district to monitor progress).</w:t>
      </w:r>
    </w:p>
    <w:p w:rsidR="00FC07DF" w:rsidRDefault="00FC07DF" w:rsidP="00C405A7">
      <w:pPr>
        <w:pStyle w:val="Default"/>
        <w:rPr>
          <w:color w:val="1F497D" w:themeColor="text2"/>
        </w:rPr>
      </w:pPr>
    </w:p>
    <w:p w:rsidR="00C17DE1" w:rsidRDefault="00FC07DF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Internet safety night with Lt. </w:t>
      </w:r>
      <w:proofErr w:type="spellStart"/>
      <w:r>
        <w:rPr>
          <w:color w:val="1F497D" w:themeColor="text2"/>
        </w:rPr>
        <w:t>Enos</w:t>
      </w:r>
      <w:proofErr w:type="spellEnd"/>
      <w:r>
        <w:rPr>
          <w:color w:val="1F497D" w:themeColor="text2"/>
        </w:rPr>
        <w:t xml:space="preserve"> for parents Dec. 11, 6:00 – 7:00; child supervision provided; follow-up with students in grades 4/5 and 6/7/8.  Roll-out of 1:1 tablet program has shown the need to do more intensive digital citizenship. </w:t>
      </w:r>
    </w:p>
    <w:p w:rsidR="00C17DE1" w:rsidRDefault="00C17DE1" w:rsidP="00C405A7">
      <w:pPr>
        <w:pStyle w:val="Default"/>
        <w:rPr>
          <w:color w:val="1F497D" w:themeColor="text2"/>
        </w:rPr>
      </w:pPr>
    </w:p>
    <w:p w:rsidR="00E75C8B" w:rsidRDefault="00C17DE1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>Percentiles for FSA tests were mailed to parents</w:t>
      </w:r>
      <w:r w:rsidR="00FC07DF">
        <w:rPr>
          <w:color w:val="1F497D" w:themeColor="text2"/>
        </w:rPr>
        <w:t xml:space="preserve">  </w:t>
      </w:r>
    </w:p>
    <w:p w:rsidR="00C17DE1" w:rsidRDefault="00C17DE1" w:rsidP="00C405A7">
      <w:pPr>
        <w:pStyle w:val="Default"/>
        <w:rPr>
          <w:color w:val="1F497D" w:themeColor="text2"/>
        </w:rPr>
      </w:pPr>
    </w:p>
    <w:p w:rsidR="00C17DE1" w:rsidRDefault="00C17DE1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>Notes from district charter principals’ meeting 10/28/15:</w:t>
      </w:r>
    </w:p>
    <w:p w:rsidR="00C17DE1" w:rsidRDefault="00C17DE1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District-wide kindergarten, 1st, 5th and 8</w:t>
      </w:r>
      <w:r w:rsidRPr="00C17DE1">
        <w:rPr>
          <w:color w:val="1F497D" w:themeColor="text2"/>
          <w:vertAlign w:val="superscript"/>
        </w:rPr>
        <w:t>th</w:t>
      </w:r>
      <w:r>
        <w:rPr>
          <w:color w:val="1F497D" w:themeColor="text2"/>
        </w:rPr>
        <w:t xml:space="preserve"> grades down this year – will affect next year’s projections?</w:t>
      </w:r>
    </w:p>
    <w:p w:rsidR="00FC07DF" w:rsidRDefault="00C17DE1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Cost factors down state-wide – elementary K-2 decrease, K-3 ESE amounts down; all ESOL down – will be adjusted in November check</w:t>
      </w:r>
    </w:p>
    <w:p w:rsidR="00C17DE1" w:rsidRDefault="00C17DE1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Warehouse and transportation two months behind – total payments to date should come out of November check</w:t>
      </w:r>
    </w:p>
    <w:p w:rsidR="00C17DE1" w:rsidRDefault="00C17DE1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FTE will be adjusted in December for October 10-day count; IDEA amounts will be announced in January</w:t>
      </w:r>
    </w:p>
    <w:p w:rsidR="00C17DE1" w:rsidRDefault="00C17DE1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</w:r>
    </w:p>
    <w:p w:rsidR="00FC07DF" w:rsidRDefault="00FC07DF" w:rsidP="00C405A7">
      <w:pPr>
        <w:pStyle w:val="Default"/>
        <w:rPr>
          <w:color w:val="1F497D" w:themeColor="text2"/>
        </w:rPr>
      </w:pPr>
    </w:p>
    <w:sectPr w:rsidR="00FC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95AFE"/>
    <w:rsid w:val="000B758C"/>
    <w:rsid w:val="00277EE5"/>
    <w:rsid w:val="002C6F05"/>
    <w:rsid w:val="002D3FBD"/>
    <w:rsid w:val="0036350D"/>
    <w:rsid w:val="003A74ED"/>
    <w:rsid w:val="00473EEF"/>
    <w:rsid w:val="004A3243"/>
    <w:rsid w:val="004C28DC"/>
    <w:rsid w:val="004E0252"/>
    <w:rsid w:val="005036A1"/>
    <w:rsid w:val="0053360C"/>
    <w:rsid w:val="00692489"/>
    <w:rsid w:val="006B62A9"/>
    <w:rsid w:val="006C3FC2"/>
    <w:rsid w:val="006E67D9"/>
    <w:rsid w:val="007C483A"/>
    <w:rsid w:val="00954855"/>
    <w:rsid w:val="009D7664"/>
    <w:rsid w:val="00A12B03"/>
    <w:rsid w:val="00A22555"/>
    <w:rsid w:val="00A270C4"/>
    <w:rsid w:val="00AC12CA"/>
    <w:rsid w:val="00AE7A9E"/>
    <w:rsid w:val="00B53D37"/>
    <w:rsid w:val="00B74237"/>
    <w:rsid w:val="00C05B51"/>
    <w:rsid w:val="00C17DE1"/>
    <w:rsid w:val="00C405A7"/>
    <w:rsid w:val="00C664E3"/>
    <w:rsid w:val="00DD061D"/>
    <w:rsid w:val="00E07734"/>
    <w:rsid w:val="00E16B4D"/>
    <w:rsid w:val="00E75C8B"/>
    <w:rsid w:val="00EA40F1"/>
    <w:rsid w:val="00F27FAC"/>
    <w:rsid w:val="00FC07DF"/>
    <w:rsid w:val="00FD2A8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5245-39DE-49EA-AADE-F03EF26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otaacademyof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cblankenship</cp:lastModifiedBy>
  <cp:revision>2</cp:revision>
  <cp:lastPrinted>2014-10-10T15:55:00Z</cp:lastPrinted>
  <dcterms:created xsi:type="dcterms:W3CDTF">2015-10-28T19:16:00Z</dcterms:created>
  <dcterms:modified xsi:type="dcterms:W3CDTF">2015-10-28T19:16:00Z</dcterms:modified>
</cp:coreProperties>
</file>